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手机：18883301637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邮箱：liyong795@126.com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应聘职位：会计师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中山大学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    高级会计师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德勤    资深会计师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安永    高级会计师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招商银行    高级会计师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负责税务申报和缴纳，确保税务合规，优化税务成本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维护财务档案，建立健全财务管理制度和内控流程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参与预算编制和执行监控，提供财务分析报告和决策支持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协助完成月度、季度、年度财务报告，配合内外部审计工作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负责日常会计核算，编制财务报表，确保账务准确性和合规性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处理应收应付账款，进行成本核算和费用分析，提供财务数据支持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税务优化方案：制定合规税务筹划策略，年度节税200万元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成本控制项目：建立精细化成本核算体系，运营成本降低15%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财务系统升级：主导ERP财务模块实施，财务处理效率提升40%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成本会计 | 用友 | 财务会计 | Excel | 财务报表 | 金蝶 | 税务处理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