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手机：18857566538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邮箱：huyang804@gmail.com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西安交通大学    新闻传播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中级市场营销专员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vivo    中级市场营销专员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滴滴    中级市场营销专员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联合利华    市场营销专员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活动策划 | 广告投放 | 品牌推广 | 公关传播 | 内容营销 | 社交媒体 | 数字营销 | 数据分析 | 市场策划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