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手机：15810389048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邮箱：heyang433@163.com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应聘职位：审计师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浙江大学    审计学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普华永道    高级审计师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天健    高级审计师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瑞华    高级审计师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中审众环    高级审计师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风险评估 | 审计软件 | 合规检查 | 财务分析 | 内控制度 | 内部审计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