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马平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手机：15843060433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邮箱：maping801@163.com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应聘职位：业务分析师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清华大学    经济学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滴滴    资深业务分析师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腾讯    高级业务分析师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业务流程重组：梳理核心业务流程，效率提升30%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埃森哲    高级业务分析师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2019.01 - 2021.12    华为    高级业务分析师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负责业务需求分析，深入理解业务流程，识别改进机会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分析业务数据，发现业务问题，提出解决方案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设计业务流程，优化业务效率，降低运营成本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协调业务和技术团队，推动项目实施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参与系统设计，确保系统满足业务需求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与业务用户沟通，收集和整理需求，编写需求文档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需求管理体系：建立需求管理流程，需求变更控制率提升40%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业务数字化转型：分析业务需求，推动数字化改造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原型设计 | 流程梳理 | 需求分析 | 业务分析 | 数据分析 | 用户研究 | 业务建模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