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手机：13902122725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邮箱：yangjie639@gmail.com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应聘职位：医疗器械销售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浙江大学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高级医疗器械销售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知名企业    资深医疗器械销售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国有企业    高级医疗器械销售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行业龙头    高级医疗器械销售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项目管理 | 沟通能力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