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手机：15854943629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邮箱：matao374@gmail.com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应聘职位：市场营销专员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南京大学    广告学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滴滴    中级市场营销专员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数字营销转型：建立数字化营销体系，提升线上获客效率，成本降低30%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宝洁    中级市场营销专员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用户增长活动：策划用户拉新活动，新用户获取成本降低20%，转化率提升15%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品牌年度营销策略制定：制定全年营销计划，整合线上线下资源，品牌知名度提升40%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KOL合作项目：建立KOL合作体系，通过意见领袖推广，品牌曝光量增长200%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字节跳动    市场营销专员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品牌年度营销策略制定：制定全年营销计划，整合线上线下资源，品牌知名度提升40%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数字营销转型：建立数字化营销体系，提升线上获客效率，成本降低30%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小米    中级市场营销专员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用户增长活动：策划用户拉新活动，新用户获取成本降低20%，转化率提升15%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品牌年度营销策略制定：制定全年营销计划，整合线上线下资源，品牌知名度提升40%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公关传播 | 内容营销 | 数字营销 | 市场策划 | 广告投放 | 数据分析 | 品牌推广 | 社交媒体 | 活动策划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