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手机：15063689942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邮箱：linxia197@qq.com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南京大学    人力资源管理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职业规划师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创业公司    职业规划师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中级职业规划师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服务机构    中级职业规划师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数据分析 | 沟通能力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