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手机：15029614580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邮箱：zhangmin616@qq.com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同济大学    工业设计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网易    中级UI/UX设计师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阿里巴巴    中级UI/UX设计师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华为    中级UI/UX设计师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美团    中级UI/UX设计师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原型设计 | 用户体验设计 | Sketch | Illustrator | 用户研究 | 交互设计 | Photoshop | Figma | Adobe XD | 视觉设计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